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8533B4" w:rsidRPr="008533B4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23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8533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8-ի N 1025-Ն որոշման</w:t>
            </w:r>
          </w:p>
        </w:tc>
      </w:tr>
    </w:tbl>
    <w:p w:rsidR="008533B4" w:rsidRPr="008533B4" w:rsidRDefault="008533B4" w:rsidP="008533B4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8533B4" w:rsidRPr="008533B4" w:rsidRDefault="008533B4" w:rsidP="008533B4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8533B4" w:rsidRPr="008533B4" w:rsidRDefault="008533B4" w:rsidP="008533B4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b/>
          <w:bCs/>
          <w:color w:val="000000"/>
        </w:rPr>
        <w:t>ՄԱՆԿԱԿԱՆ ՆԱԽԱԴՊՐՈՑԱԿԱՆ ՀԻՄՆԱՐԿՆԵՐԻ ՀԱՄԱՐ</w:t>
      </w:r>
    </w:p>
    <w:p w:rsidR="008533B4" w:rsidRPr="008533B4" w:rsidRDefault="008533B4" w:rsidP="008533B4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______ ________ 20</w:t>
      </w:r>
      <w:r w:rsidRPr="008533B4">
        <w:rPr>
          <w:rFonts w:ascii="Calibri" w:eastAsia="Times New Roman" w:hAnsi="Calibri" w:cs="Calibri"/>
          <w:color w:val="000000"/>
        </w:rPr>
        <w:t> </w:t>
      </w:r>
      <w:r w:rsidRPr="008533B4">
        <w:rPr>
          <w:rFonts w:ascii="GHEA Grapalat" w:eastAsia="Times New Roman" w:hAnsi="GHEA Grapalat" w:cs="Times New Roman"/>
          <w:color w:val="000000"/>
        </w:rPr>
        <w:t xml:space="preserve"> թ.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8533B4" w:rsidRPr="008533B4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8533B4" w:rsidRPr="008533B4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8533B4" w:rsidRPr="008533B4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8533B4">
                    <w:rPr>
                      <w:rFonts w:ascii="Calibri" w:eastAsia="Times New Roman" w:hAnsi="Calibri" w:cs="Calibri"/>
                    </w:rPr>
                    <w:t> </w:t>
                  </w:r>
                  <w:r w:rsidRPr="008533B4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8533B4" w:rsidRPr="008533B4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8533B4">
                    <w:rPr>
                      <w:rFonts w:ascii="Calibri" w:eastAsia="Times New Roman" w:hAnsi="Calibri" w:cs="Calibri"/>
                    </w:rPr>
                    <w:t> </w:t>
                  </w:r>
                  <w:r w:rsidRPr="008533B4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8533B4" w:rsidRPr="008533B4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8533B4">
                    <w:rPr>
                      <w:rFonts w:ascii="Calibri" w:eastAsia="Times New Roman" w:hAnsi="Calibri" w:cs="Calibri"/>
                    </w:rPr>
                    <w:t> </w:t>
                  </w:r>
                  <w:r w:rsidRPr="008533B4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8533B4" w:rsidRPr="008533B4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8533B4" w:rsidRPr="008533B4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8533B4" w:rsidRPr="008533B4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8533B4" w:rsidRPr="008533B4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_________________________________________________________________________________________</w:t>
                  </w:r>
                  <w:r w:rsidRPr="008533B4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8533B4" w:rsidRPr="008533B4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8533B4" w:rsidRPr="008533B4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8533B4" w:rsidRPr="008533B4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533B4" w:rsidRPr="008533B4" w:rsidRDefault="008533B4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533B4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533B4" w:rsidRPr="008533B4" w:rsidRDefault="008533B4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533B4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533B4" w:rsidRPr="008533B4" w:rsidRDefault="008533B4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533B4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533B4" w:rsidRPr="008533B4" w:rsidRDefault="008533B4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533B4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533B4" w:rsidRPr="008533B4" w:rsidRDefault="008533B4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533B4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533B4" w:rsidRPr="008533B4" w:rsidRDefault="008533B4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533B4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533B4" w:rsidRPr="008533B4" w:rsidRDefault="008533B4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533B4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533B4" w:rsidRPr="008533B4" w:rsidRDefault="008533B4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533B4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8533B4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8533B4" w:rsidRPr="008533B4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8533B4" w:rsidRPr="008533B4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8533B4" w:rsidRPr="008533B4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33B4" w:rsidRPr="008533B4" w:rsidRDefault="008533B4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________________________________</w:t>
                  </w:r>
                </w:p>
                <w:p w:rsidR="008533B4" w:rsidRPr="008533B4" w:rsidRDefault="008533B4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533B4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Ստուգման hանձնարարագիր ___________ ում կողմից _______________________________________</w:t>
            </w:r>
          </w:p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533B4" w:rsidRPr="008533B4" w:rsidRDefault="008533B4" w:rsidP="008533B4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lastRenderedPageBreak/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b/>
          <w:bCs/>
          <w:color w:val="000000"/>
        </w:rPr>
        <w:t>ՄԱՆԿԱԿԱՆ ՆԱԽԱԴՊՐՈՑԱԿԱՆ ՀԻՄՆԱՐԿՆԵՐԻ ՀԱՄԱՐ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394"/>
        <w:gridCol w:w="367"/>
        <w:gridCol w:w="257"/>
        <w:gridCol w:w="433"/>
        <w:gridCol w:w="1490"/>
        <w:gridCol w:w="1297"/>
        <w:gridCol w:w="1134"/>
        <w:gridCol w:w="860"/>
      </w:tblGrid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Մանկական նախադպրոցական շենքերից մինչև այլ շենքերի և շինությունների միջև պահանջվող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«3»,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Մանկական նախադպրոցական հաստատությունների շենքերի նկուղային (ցոկոլային) հարկերում տեղակայված չեն այրվող նյութերի պահեստավորման համար նախատեսված սենքեր: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«5», կետ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Մանկական նախադպրոցական հաստատությունների տարածքները ապահովված են էլեկտրական լուսավորությամբ: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3, կետ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հարկերում գտնվող սենքերի լուսամուտները խուլ փակված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Մանկական ամառանոցները ապահովված են տագնապի ազդանշանային սարքերով: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II, գլուխ 12, կետ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  <w:r w:rsidRPr="008533B4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3,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կետ 41,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Հատակային ծածկերը (գորգերը, ուղեգորգերը) ամրացված են հատակին: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Տարահանման ուղիների հատակի վրա չկան 45սմ պակաս բարձրությունների անկումներ կամ ելուստներ: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«5»,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Բարձրությունների անկումների տեղերում նախատեսված են 3-ից ոչ պակաս թվաքանակով 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աստիճաններ կամ 1:6 ոչ ավելի թեքությամբ թեքահարթակներ: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«5»,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Տարահանման համար նախատեսված սանդղավանդակները յուրաքանչյուր հարկում արտաքին պատերում ունեն 1,2մ ոչ պակաս մակերեսով լուսաբացվածքներ: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«5», կետ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Սանդղավանդակները ունեն ելք դեպի դուրս անմիջապես կամ նախասրահով: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«5», կետ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Երկու սանդղավանդակների կամ ելքերի միջև տեղակայված մանկական նախադպրոցական հաստատություններում խմբակային բջիջների տարահանման ելքերից մինչև դրսի ելքի դուռը հեռավորությունը չի գերազանցում 15 մետրը: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«5», կետ 60 աղյ.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Փակուղային միջանցքներում տեղակայված մանկական նախադպրոցական հաստատություններում խմբակային բջիջների տարահանման ելքերից մինչև դրսի ելքի դուռը հեռավորությունը չի գերազանցում 10 մետրը: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«5», կետ 60 աղյ.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Տասը մարդ և ավելի միաժամանակյա ներկայության համար նախատեսված սենքերը ունեն երկուսից ոչ պակաս տարահանման ելքեր: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«5», կետ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Շենքից տարահանման ելքերի քանակը պակաս չէ երկուսից, 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Տարահանման երկու ելքերի առկայության դեպքում,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Տարահանման ելքի դռները բացվում են շենքից դուրս գալու ուղղությամբ: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«5», կետ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21</w:t>
            </w:r>
            <w:r w:rsidRPr="008533B4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 մոնտաժվել և շահագործվում են էլեկտրական սարքավորումների 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4,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21</w:t>
            </w:r>
            <w:r w:rsidRPr="008533B4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հավելված 1,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գլուխ 2,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կետ 10, «8»,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գլուխ 6,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կետեր 208,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Կաթսայատներում հեղուկ վառելանյութ պահեստավորված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Վառարանային ջեռուցման սարքավորումների 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«1», բաժին I, գլուխ 5, 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Ծխնելույզների մաքրումն իրականացվում է սահմանված ժամկետներում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գլուխ 5,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Ծխահեռացման խողովակները բարձրացված են տանիքից 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«9», գլուխ 5,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կետ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«6», կետ 7.11.1,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«6», գլուխ 8, կետ 8.2,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55մ</w:t>
            </w:r>
            <w:r w:rsidRPr="008533B4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ավել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մակերեսով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բնական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լուսավորություն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չունեցող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սենքերում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տեղակայված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է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հակածխային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պաշտպանության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համակարգ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«6», կետ 8</w:t>
            </w:r>
            <w:r w:rsidRPr="008533B4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2, </w:t>
            </w:r>
            <w:r w:rsidRPr="008533B4">
              <w:rPr>
                <w:rFonts w:ascii="GHEA Grapalat" w:eastAsia="Times New Roman" w:hAnsi="GHEA Grapalat" w:cs="Sylfaen"/>
                <w:color w:val="000000"/>
              </w:rPr>
              <w:t>ենթակետ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Արտաքին հրդեհաշիջման համար օբյեկտների տարածքում 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կամ դրանց մոտակայքում (200 մ շառավղով) նախատեսված է առնվազն 1 հրշեջ հիդրանտ կամ նվազագույնը 54 մ</w:t>
            </w:r>
            <w:r w:rsidRPr="008533B4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հակահրդեհային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533B4">
              <w:rPr>
                <w:rFonts w:ascii="GHEA Grapalat" w:eastAsia="Times New Roman" w:hAnsi="GHEA Grapalat" w:cs="GHEA Grapalat"/>
                <w:color w:val="000000"/>
              </w:rPr>
              <w:t>ջրավազան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«7», գլուխ 5,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կետեր 29,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45, գլուխ 11,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կետ 602 և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գլուխ 12,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5000 մ</w:t>
            </w:r>
            <w:r w:rsidRPr="008533B4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«2», կետ 61, աղյուսակ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30</w:t>
            </w:r>
            <w:r w:rsidRPr="008533B4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6, կետ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«2»,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Մանկական նախադպրոցական հիմնարկը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</w:t>
            </w:r>
          </w:p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I,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գլուխ 7,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կետեր 81,</w:t>
            </w:r>
          </w:p>
          <w:p w:rsidR="008533B4" w:rsidRPr="008533B4" w:rsidRDefault="008533B4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«4», հոդված 19, մաս 1,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եզրակացությունը: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«4»,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8533B4" w:rsidRPr="008533B4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533B4" w:rsidRPr="008533B4" w:rsidRDefault="008533B4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8533B4">
        <w:rPr>
          <w:rFonts w:ascii="GHEA Grapalat" w:eastAsia="Times New Roman" w:hAnsi="GHEA Grapalat" w:cs="Times New Roman"/>
          <w:color w:val="000000"/>
        </w:rPr>
        <w:t>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«2» - ՀՀՇՆ 40-01.01-2014 «Շենքերի ներքին ջրամատակարարում և ջրահեռացում»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lastRenderedPageBreak/>
        <w:t>«3» - ՀՀՇՆ 30-01-2023 «Քաղաքաշինություն. Քաղաքային և գյուղական բնակավայրերի հատակագծում և կառուցապատում»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«4» - «Տեխնիկական անվտանգության ապահովման պետական կարգավորման մասին» ՀՀ օրենք ընդունված է 2005 թվականի հոկտեմբերի 24-ին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«5» - ՀՀՇՆ 21-01-2014 «Շենքերի և շինությունների հրդեհային անվտանգություն»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«6» - ՀՀՇՆ IV-12.02.01-04 «Ջեռուցում, օդափոխում և օդի լավորակում»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«7» - ՀՀՇՆ 40.01.02-2020 «Ջրամատակարարում. Արտաքին ցանցեր և կառուցվածքներ»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«8» - ՀՀՇՆ 22-03-2017 «Արհեստական և բնական լուսավորում»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«9» - ՀՀ կառավարության 2023 թ. ապրիլի 13-ի «Գազաբաշխման համակարգի անվտանգության և շահագործման կանոնները հաստատելու մասին» N 539-Ն որոշում»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I*- Բնակելի, հասարակական և արտադրական նշանակության շենքերից և շինություններից մինչև տարբեր նպատակային նշանակության պահեստները (բաց հարթակները) կախված շինության հրակայունության աստիճանից նորմերով պահանջվող հակահրդեհային միջտարածությունները.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952"/>
        <w:gridCol w:w="1639"/>
        <w:gridCol w:w="2519"/>
      </w:tblGrid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Շինության հրակայունության աստիճանը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Կախված շինության հրակայունության աստիճանից հեռավորությունը, մ,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</w:tr>
    </w:tbl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Շենքերի օրինակելի կոնստրուկտիվ բնութագրերը.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7033"/>
      </w:tblGrid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Շենքերի կոնստրուկցիաների հրակայունության աստիճանը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Կոնստրուկտիվ բնութագրերը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են՝ թերթավոր և սալիկային չայրվող նյութերի օգտագործմամբ: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 xml:space="preserve">Շենքեր, որոնց կրող կամ պատող կոնստրուկցիաները բնական կամ արհեստական քարային, բետոնե կամ երկաթբետոնե շինանյութերից են, օգտագործվում են թերթավոր և սալիկային չայրվող 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շինանյութեր: Շենքերի ծածկերում կարելի է օգտագործել չպաշտպանված պողպատե կոնստրուկցիաներ: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են: Միջհարկային ծածկերի համար կարելի է օգտագործել փայտե կոնստրուկցիաներ, պաշտպանված ծեփասվաղով կամ դժվար այրվող թիթեղային, ինչպես նաև սալիկային նյութերով: Ծածկի տարրերին հրակայունության և կրակի տարածման սահմանների վերաբերյալ պահանջներ չեն ներկայացնում, ընդ որում ձեղնահարկի ծածկի փայտե կոնստրուկցիաները ենթարկվում են կրակապաշտպան մշակման: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Շենքեր, որոնք հիմնականում ունեն կարկասային կոնստրուկտիվ սխեմա: Կարկասի տարրերը՝ պողպատե և այլ մետաղական անպաշտպան, ամբողջական կամ սոսնձային փայտանյութով և ուրիշ այրվող կամ դժվար այրվող նյութերով, որոնք կրակի և բարձր ջերմաստիճանի ազդեցությունից պաշտպանված են ծեփասվաղով կամ այլ չայրվող նյութերով: Պատող կոնստրուկցիաները՝ պողպատե պրոֆիլավորված թերթով կամ այլ չայրվող թերթավոր և դժվար այրվող ջերմամեկուսիչ նյութերից են: Ընդ որում, ձեղնահարկի փայտե կոնստրուկցիաները ենթարկվում են կրակապաշտպան մշակման: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Շենքեր, որոնց կրող և պատող կոնստրուկցիաների հրակայունության և կրակի տարածման սահմանների նկատմամբ պահանջներ չեն ներկայացվում:</w:t>
            </w:r>
          </w:p>
        </w:tc>
      </w:tr>
    </w:tbl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II*- Ոչ պակաս քան տարահանման երկու ելք պետք է ունենան.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ա) տաս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8533B4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8533B4">
        <w:rPr>
          <w:rFonts w:ascii="Calibri" w:eastAsia="Times New Roman" w:hAnsi="Calibri" w:cs="Calibri"/>
          <w:color w:val="000000"/>
        </w:rPr>
        <w:t> </w:t>
      </w:r>
      <w:r w:rsidRPr="008533B4">
        <w:rPr>
          <w:rFonts w:ascii="GHEA Grapalat" w:eastAsia="Times New Roman" w:hAnsi="GHEA Grapalat" w:cs="GHEA Grapalat"/>
          <w:color w:val="000000"/>
        </w:rPr>
        <w:t>ավելի</w:t>
      </w:r>
      <w:r w:rsidRPr="008533B4">
        <w:rPr>
          <w:rFonts w:ascii="GHEA Grapalat" w:eastAsia="Times New Roman" w:hAnsi="GHEA Grapalat" w:cs="Times New Roman"/>
          <w:color w:val="000000"/>
        </w:rPr>
        <w:t xml:space="preserve"> </w:t>
      </w:r>
      <w:r w:rsidRPr="008533B4">
        <w:rPr>
          <w:rFonts w:ascii="GHEA Grapalat" w:eastAsia="Times New Roman" w:hAnsi="GHEA Grapalat" w:cs="GHEA Grapalat"/>
          <w:color w:val="000000"/>
        </w:rPr>
        <w:t>մակերեսով</w:t>
      </w:r>
      <w:r w:rsidRPr="008533B4">
        <w:rPr>
          <w:rFonts w:ascii="GHEA Grapalat" w:eastAsia="Times New Roman" w:hAnsi="GHEA Grapalat" w:cs="Times New Roman"/>
          <w:color w:val="000000"/>
        </w:rPr>
        <w:t xml:space="preserve"> </w:t>
      </w:r>
      <w:r w:rsidRPr="008533B4">
        <w:rPr>
          <w:rFonts w:ascii="GHEA Grapalat" w:eastAsia="Times New Roman" w:hAnsi="GHEA Grapalat" w:cs="GHEA Grapalat"/>
          <w:color w:val="000000"/>
        </w:rPr>
        <w:t>սենքերը</w:t>
      </w:r>
      <w:r w:rsidRPr="008533B4">
        <w:rPr>
          <w:rFonts w:ascii="GHEA Grapalat" w:eastAsia="Times New Roman" w:hAnsi="GHEA Grapalat" w:cs="Times New Roman"/>
          <w:color w:val="000000"/>
        </w:rPr>
        <w:t>,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lastRenderedPageBreak/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8533B4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8533B4">
        <w:rPr>
          <w:rFonts w:ascii="Calibri" w:eastAsia="Times New Roman" w:hAnsi="Calibri" w:cs="Calibri"/>
          <w:color w:val="000000"/>
        </w:rPr>
        <w:t> </w:t>
      </w:r>
      <w:r w:rsidRPr="008533B4">
        <w:rPr>
          <w:rFonts w:ascii="GHEA Grapalat" w:eastAsia="Times New Roman" w:hAnsi="GHEA Grapalat" w:cs="GHEA Grapalat"/>
          <w:color w:val="000000"/>
        </w:rPr>
        <w:t>ավելի</w:t>
      </w:r>
      <w:r w:rsidRPr="008533B4">
        <w:rPr>
          <w:rFonts w:ascii="GHEA Grapalat" w:eastAsia="Times New Roman" w:hAnsi="GHEA Grapalat" w:cs="Times New Roman"/>
          <w:color w:val="000000"/>
        </w:rPr>
        <w:t xml:space="preserve"> </w:t>
      </w:r>
      <w:r w:rsidRPr="008533B4">
        <w:rPr>
          <w:rFonts w:ascii="GHEA Grapalat" w:eastAsia="Times New Roman" w:hAnsi="GHEA Grapalat" w:cs="GHEA Grapalat"/>
          <w:color w:val="000000"/>
        </w:rPr>
        <w:t>հարկաբաժնի</w:t>
      </w:r>
      <w:r w:rsidRPr="008533B4">
        <w:rPr>
          <w:rFonts w:ascii="GHEA Grapalat" w:eastAsia="Times New Roman" w:hAnsi="GHEA Grapalat" w:cs="Times New Roman"/>
          <w:color w:val="000000"/>
        </w:rPr>
        <w:t xml:space="preserve"> </w:t>
      </w:r>
      <w:r w:rsidRPr="008533B4">
        <w:rPr>
          <w:rFonts w:ascii="GHEA Grapalat" w:eastAsia="Times New Roman" w:hAnsi="GHEA Grapalat" w:cs="GHEA Grapalat"/>
          <w:color w:val="000000"/>
        </w:rPr>
        <w:t>հատակի</w:t>
      </w:r>
      <w:r w:rsidRPr="008533B4">
        <w:rPr>
          <w:rFonts w:ascii="GHEA Grapalat" w:eastAsia="Times New Roman" w:hAnsi="GHEA Grapalat" w:cs="Times New Roman"/>
          <w:color w:val="000000"/>
        </w:rPr>
        <w:t xml:space="preserve"> </w:t>
      </w:r>
      <w:r w:rsidRPr="008533B4">
        <w:rPr>
          <w:rFonts w:ascii="GHEA Grapalat" w:eastAsia="Times New Roman" w:hAnsi="GHEA Grapalat" w:cs="GHEA Grapalat"/>
          <w:color w:val="000000"/>
        </w:rPr>
        <w:t>մակերեսի</w:t>
      </w:r>
      <w:r w:rsidRPr="008533B4">
        <w:rPr>
          <w:rFonts w:ascii="GHEA Grapalat" w:eastAsia="Times New Roman" w:hAnsi="GHEA Grapalat" w:cs="Times New Roman"/>
          <w:color w:val="000000"/>
        </w:rPr>
        <w:t xml:space="preserve"> </w:t>
      </w:r>
      <w:r w:rsidRPr="008533B4">
        <w:rPr>
          <w:rFonts w:ascii="GHEA Grapalat" w:eastAsia="Times New Roman" w:hAnsi="GHEA Grapalat" w:cs="GHEA Grapalat"/>
          <w:color w:val="000000"/>
        </w:rPr>
        <w:t>դեպքում</w:t>
      </w:r>
      <w:r w:rsidRPr="008533B4">
        <w:rPr>
          <w:rFonts w:ascii="GHEA Grapalat" w:eastAsia="Times New Roman" w:hAnsi="GHEA Grapalat" w:cs="Times New Roman"/>
          <w:color w:val="000000"/>
        </w:rPr>
        <w:t xml:space="preserve"> </w:t>
      </w:r>
      <w:r w:rsidRPr="008533B4">
        <w:rPr>
          <w:rFonts w:ascii="GHEA Grapalat" w:eastAsia="Times New Roman" w:hAnsi="GHEA Grapalat" w:cs="GHEA Grapalat"/>
          <w:color w:val="000000"/>
        </w:rPr>
        <w:t>և</w:t>
      </w:r>
      <w:r w:rsidRPr="008533B4">
        <w:rPr>
          <w:rFonts w:ascii="GHEA Grapalat" w:eastAsia="Times New Roman" w:hAnsi="GHEA Grapalat" w:cs="Times New Roman"/>
          <w:color w:val="000000"/>
        </w:rPr>
        <w:t xml:space="preserve"> 400 </w:t>
      </w:r>
      <w:r w:rsidRPr="008533B4">
        <w:rPr>
          <w:rFonts w:ascii="GHEA Grapalat" w:eastAsia="Times New Roman" w:hAnsi="GHEA Grapalat" w:cs="GHEA Grapalat"/>
          <w:color w:val="000000"/>
        </w:rPr>
        <w:t>մ</w:t>
      </w:r>
      <w:r w:rsidRPr="008533B4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8533B4">
        <w:rPr>
          <w:rFonts w:ascii="Calibri" w:eastAsia="Times New Roman" w:hAnsi="Calibri" w:cs="Calibri"/>
          <w:color w:val="000000"/>
        </w:rPr>
        <w:t> </w:t>
      </w:r>
      <w:r w:rsidRPr="008533B4">
        <w:rPr>
          <w:rFonts w:ascii="GHEA Grapalat" w:eastAsia="Times New Roman" w:hAnsi="GHEA Grapalat" w:cs="GHEA Grapalat"/>
          <w:color w:val="000000"/>
        </w:rPr>
        <w:t>ավելի</w:t>
      </w:r>
      <w:r w:rsidRPr="008533B4">
        <w:rPr>
          <w:rFonts w:ascii="GHEA Grapalat" w:eastAsia="Times New Roman" w:hAnsi="GHEA Grapalat" w:cs="Times New Roman"/>
          <w:color w:val="000000"/>
        </w:rPr>
        <w:t xml:space="preserve"> - </w:t>
      </w:r>
      <w:r w:rsidRPr="008533B4">
        <w:rPr>
          <w:rFonts w:ascii="GHEA Grapalat" w:eastAsia="Times New Roman" w:hAnsi="GHEA Grapalat" w:cs="GHEA Grapalat"/>
          <w:color w:val="000000"/>
        </w:rPr>
        <w:t>այլ</w:t>
      </w:r>
      <w:r w:rsidRPr="008533B4">
        <w:rPr>
          <w:rFonts w:ascii="GHEA Grapalat" w:eastAsia="Times New Roman" w:hAnsi="GHEA Grapalat" w:cs="Times New Roman"/>
          <w:color w:val="000000"/>
        </w:rPr>
        <w:t xml:space="preserve"> </w:t>
      </w:r>
      <w:r w:rsidRPr="008533B4">
        <w:rPr>
          <w:rFonts w:ascii="GHEA Grapalat" w:eastAsia="Times New Roman" w:hAnsi="GHEA Grapalat" w:cs="GHEA Grapalat"/>
          <w:color w:val="000000"/>
        </w:rPr>
        <w:t>կարգի</w:t>
      </w:r>
      <w:r w:rsidRPr="008533B4">
        <w:rPr>
          <w:rFonts w:ascii="GHEA Grapalat" w:eastAsia="Times New Roman" w:hAnsi="GHEA Grapalat" w:cs="Times New Roman"/>
          <w:color w:val="000000"/>
        </w:rPr>
        <w:t xml:space="preserve"> </w:t>
      </w:r>
      <w:r w:rsidRPr="008533B4">
        <w:rPr>
          <w:rFonts w:ascii="GHEA Grapalat" w:eastAsia="Times New Roman" w:hAnsi="GHEA Grapalat" w:cs="GHEA Grapalat"/>
          <w:color w:val="000000"/>
        </w:rPr>
        <w:t>սենքերի</w:t>
      </w:r>
      <w:r w:rsidRPr="008533B4">
        <w:rPr>
          <w:rFonts w:ascii="GHEA Grapalat" w:eastAsia="Times New Roman" w:hAnsi="GHEA Grapalat" w:cs="Times New Roman"/>
          <w:color w:val="000000"/>
        </w:rPr>
        <w:t xml:space="preserve"> </w:t>
      </w:r>
      <w:r w:rsidRPr="008533B4">
        <w:rPr>
          <w:rFonts w:ascii="GHEA Grapalat" w:eastAsia="Times New Roman" w:hAnsi="GHEA Grapalat" w:cs="GHEA Grapalat"/>
          <w:color w:val="000000"/>
        </w:rPr>
        <w:t>համար</w:t>
      </w:r>
      <w:r w:rsidRPr="008533B4">
        <w:rPr>
          <w:rFonts w:ascii="GHEA Grapalat" w:eastAsia="Times New Roman" w:hAnsi="GHEA Grapalat" w:cs="Times New Roman"/>
          <w:color w:val="000000"/>
        </w:rPr>
        <w:t>,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III*- Հրդեհի ազդանշանման ինքնաշխատ համակարգերով օբյեկտների համալրման չափանիշներն են.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7"/>
        <w:gridCol w:w="1093"/>
        <w:gridCol w:w="1880"/>
      </w:tblGrid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1. Հասարակական և վարչակենցաղային նշանակության 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1.1. Առողջապահական նշանակության, ուսումնական հաստատությունների, դպրոցների, մսուր-մանկապարտեզների շենքեր և կառույցներ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2.2.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</w:tbl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IV*- Շենքերը և շինությունները ձեռքի կրակմարիչներով ապահովելու չափանիշները ներկայացված են ստորև ներկայացված աղյուսակներում.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0"/>
        <w:gridCol w:w="424"/>
        <w:gridCol w:w="596"/>
        <w:gridCol w:w="550"/>
        <w:gridCol w:w="1570"/>
        <w:gridCol w:w="654"/>
        <w:gridCol w:w="983"/>
      </w:tblGrid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8533B4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Փրփրային և ջրային կրակմարիչներ 10 լ տարողութ-յամբ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Փոշային կրակմարիչներ տարողութ-յամբ,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տարողութ-յամբ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Սույն աղյուսակում ամրագրված` տարբեր դասերի հրդեհների մարման համար փոշային կրակմարիչները պետք է ունենան համապատասխան լիցքավորում, «A» դասի համար ABC(E) փոշի, «D» դասի համար` (D):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 օդափրփրային, համակցված, փոշե և ածխաթթվային</w:t>
      </w:r>
      <w:r w:rsidRPr="008533B4">
        <w:rPr>
          <w:rFonts w:ascii="Calibri" w:eastAsia="Times New Roman" w:hAnsi="Calibri" w:cs="Calibri"/>
          <w:color w:val="000000"/>
        </w:rPr>
        <w:t> </w:t>
      </w:r>
      <w:r w:rsidRPr="008533B4">
        <w:rPr>
          <w:rFonts w:ascii="GHEA Grapalat" w:eastAsia="Times New Roman" w:hAnsi="GHEA Grapalat" w:cs="Times New Roman"/>
          <w:b/>
          <w:bCs/>
          <w:color w:val="000000"/>
        </w:rPr>
        <w:t>կրակմարիչներով ապահովվում են համաձայն հետևյալ աղյուսակի.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8533B4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8533B4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Համակցված կրակմարիչներ (փրփուր, փոշի) 100լ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533B4" w:rsidRPr="008533B4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3B4" w:rsidRPr="008533B4" w:rsidRDefault="008533B4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533B4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1) «A» դասի համար` ABC(E) փոշի.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2) «B», «C» և «E» դասի համար` BC(E) կամ ABC(E) փոշի.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b/>
          <w:bCs/>
          <w:color w:val="000000"/>
        </w:rPr>
        <w:t>ՄԱՆԿԱԿԱՆ ՆԱԽԱԴՊՐՈՑԱԿԱՆ ՀԻՄՆԱՐԿՆԵՐԻ ՍՏՈՒԳԱԹԵՐԹԻ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Սույն ստուգաթերթում օգտագործվում են հետևյալ հիմնական հասկացությունները`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i/>
          <w:iCs/>
          <w:color w:val="000000"/>
        </w:rPr>
        <w:t>1)</w:t>
      </w:r>
      <w:r w:rsidRPr="008533B4">
        <w:rPr>
          <w:rFonts w:ascii="Calibri" w:eastAsia="Times New Roman" w:hAnsi="Calibri" w:cs="Calibri"/>
          <w:i/>
          <w:iCs/>
          <w:color w:val="000000"/>
        </w:rPr>
        <w:t> </w:t>
      </w:r>
      <w:r w:rsidRPr="008533B4">
        <w:rPr>
          <w:rFonts w:ascii="GHEA Grapalat" w:eastAsia="Times New Roman" w:hAnsi="GHEA Grapalat" w:cs="GHEA Grapalat"/>
          <w:i/>
          <w:iCs/>
          <w:color w:val="000000"/>
        </w:rPr>
        <w:t>այրվող</w:t>
      </w:r>
      <w:r w:rsidRPr="008533B4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8533B4">
        <w:rPr>
          <w:rFonts w:ascii="GHEA Grapalat" w:eastAsia="Times New Roman" w:hAnsi="GHEA Grapalat" w:cs="GHEA Grapalat"/>
          <w:i/>
          <w:iCs/>
          <w:color w:val="000000"/>
        </w:rPr>
        <w:t>նյութ</w:t>
      </w:r>
      <w:r w:rsidRPr="008533B4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8533B4">
        <w:rPr>
          <w:rFonts w:ascii="Calibri" w:eastAsia="Times New Roman" w:hAnsi="Calibri" w:cs="Calibri"/>
          <w:i/>
          <w:iCs/>
          <w:color w:val="000000"/>
        </w:rPr>
        <w:t> </w:t>
      </w:r>
      <w:r w:rsidRPr="008533B4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i/>
          <w:iCs/>
          <w:color w:val="000000"/>
        </w:rPr>
        <w:t>2)</w:t>
      </w:r>
      <w:r w:rsidRPr="008533B4">
        <w:rPr>
          <w:rFonts w:ascii="Calibri" w:eastAsia="Times New Roman" w:hAnsi="Calibri" w:cs="Calibri"/>
          <w:i/>
          <w:iCs/>
          <w:color w:val="000000"/>
        </w:rPr>
        <w:t> </w:t>
      </w:r>
      <w:r w:rsidRPr="008533B4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r w:rsidRPr="008533B4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8533B4">
        <w:rPr>
          <w:rFonts w:ascii="GHEA Grapalat" w:eastAsia="Times New Roman" w:hAnsi="GHEA Grapalat" w:cs="GHEA Grapalat"/>
          <w:i/>
          <w:iCs/>
          <w:color w:val="000000"/>
        </w:rPr>
        <w:t>միջտարածություն</w:t>
      </w:r>
      <w:r w:rsidRPr="008533B4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8533B4">
        <w:rPr>
          <w:rFonts w:ascii="Calibri" w:eastAsia="Times New Roman" w:hAnsi="Calibri" w:cs="Calibri"/>
          <w:i/>
          <w:iCs/>
          <w:color w:val="000000"/>
        </w:rPr>
        <w:t> </w:t>
      </w:r>
      <w:r w:rsidRPr="008533B4">
        <w:rPr>
          <w:rFonts w:ascii="GHEA Grapalat" w:eastAsia="Times New Roman" w:hAnsi="GHEA Grapalat" w:cs="Times New Roman"/>
          <w:color w:val="000000"/>
        </w:rPr>
        <w:t>շինությունից դեպի հարևան շինություններ կրակի տարածումը կանխարգելելու նպատակով նախատեսված տարածություն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3) հրդեհաշիջման և հրդեհի ազդանշանման ինքնաշխատ կայանքներ (ՀՀԱ</w:t>
      </w:r>
      <w:r w:rsidRPr="008533B4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8533B4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4</w:t>
      </w:r>
      <w:r w:rsidRPr="008533B4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8533B4">
        <w:rPr>
          <w:rFonts w:ascii="Calibri" w:eastAsia="Times New Roman" w:hAnsi="Calibri" w:cs="Calibri"/>
          <w:i/>
          <w:iCs/>
          <w:color w:val="000000"/>
        </w:rPr>
        <w:t> </w:t>
      </w:r>
      <w:r w:rsidRPr="008533B4">
        <w:rPr>
          <w:rFonts w:ascii="GHEA Grapalat" w:eastAsia="Times New Roman" w:hAnsi="GHEA Grapalat" w:cs="Times New Roman"/>
          <w:color w:val="000000"/>
        </w:rPr>
        <w:t>հրդեհի տագնապի ազդարարման ինքնաշխատ համակարգ (ՀՏԱ</w:t>
      </w:r>
      <w:r w:rsidRPr="008533B4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8533B4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5) հրդեհի տագնապի ազդանշանի փոխանցման ինքնաշխատ համակարգ (ՀՏԱՓ</w:t>
      </w:r>
      <w:r w:rsidRPr="008533B4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8533B4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t>6)</w:t>
      </w:r>
      <w:r w:rsidRPr="008533B4">
        <w:rPr>
          <w:rFonts w:ascii="Calibri" w:eastAsia="Times New Roman" w:hAnsi="Calibri" w:cs="Calibri"/>
          <w:i/>
          <w:iCs/>
          <w:color w:val="000000"/>
        </w:rPr>
        <w:t> </w:t>
      </w:r>
      <w:r w:rsidRPr="008533B4">
        <w:rPr>
          <w:rFonts w:ascii="GHEA Grapalat" w:eastAsia="Times New Roman" w:hAnsi="GHEA Grapalat" w:cs="Times New Roman"/>
          <w:color w:val="000000"/>
        </w:rPr>
        <w:t>լիազոր մարմին` Հայաստանի Հանրապետության ներքին գործերի նախարարություն.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color w:val="000000"/>
        </w:rPr>
        <w:lastRenderedPageBreak/>
        <w:t>7) հրդեհաշիջման սկզբնական միջոցներ՝ կրակմարիչներ, արկղ ավազով, դույլ, բահ, կեռաձող, կացին: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(hավելվածը լրաց. 12.09.19 N 1244-Ն, փոփ. 03.08.23 N 1304-Ն, փոփ., լրաց., խմբ. 18.01.24 N 88-Ն)</w:t>
      </w:r>
    </w:p>
    <w:p w:rsidR="008533B4" w:rsidRPr="008533B4" w:rsidRDefault="008533B4" w:rsidP="008533B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533B4">
        <w:rPr>
          <w:rFonts w:ascii="Calibri" w:eastAsia="Times New Roman" w:hAnsi="Calibri" w:cs="Calibri"/>
          <w:color w:val="000000"/>
        </w:rPr>
        <w:t> </w:t>
      </w:r>
    </w:p>
    <w:bookmarkEnd w:id="0"/>
    <w:p w:rsidR="001753BD" w:rsidRPr="008533B4" w:rsidRDefault="001753BD" w:rsidP="008533B4">
      <w:pPr>
        <w:rPr>
          <w:rFonts w:ascii="GHEA Grapalat" w:hAnsi="GHEA Grapalat"/>
        </w:rPr>
      </w:pPr>
    </w:p>
    <w:sectPr w:rsidR="001753BD" w:rsidRPr="008533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5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4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9B"/>
    <w:rsid w:val="001753BD"/>
    <w:rsid w:val="008533B4"/>
    <w:rsid w:val="008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39AEC-0F15-4569-9CDF-839AC2F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17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8A179B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A17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A179B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A179B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8A179B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8A179B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8A179B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8A179B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79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8A179B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A179B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A179B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A179B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8A179B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8A179B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8A179B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8A179B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8A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A179B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A179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A179B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8A179B"/>
  </w:style>
  <w:style w:type="paragraph" w:styleId="BalloonText">
    <w:name w:val="Balloon Text"/>
    <w:basedOn w:val="Normal"/>
    <w:link w:val="BalloonTextChar"/>
    <w:uiPriority w:val="99"/>
    <w:semiHidden/>
    <w:unhideWhenUsed/>
    <w:rsid w:val="008A17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9B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8A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A1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8A17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A179B"/>
  </w:style>
  <w:style w:type="paragraph" w:styleId="Header">
    <w:name w:val="header"/>
    <w:basedOn w:val="Normal"/>
    <w:link w:val="HeaderChar"/>
    <w:unhideWhenUsed/>
    <w:rsid w:val="008A179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179B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A179B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8A179B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qFormat/>
    <w:rsid w:val="008A179B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8A17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8A179B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8A17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8A179B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8A179B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8A179B"/>
    <w:rPr>
      <w:color w:val="808080"/>
    </w:rPr>
  </w:style>
  <w:style w:type="paragraph" w:styleId="NoSpacing">
    <w:name w:val="No Spacing"/>
    <w:link w:val="NoSpacingChar"/>
    <w:qFormat/>
    <w:rsid w:val="008A179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8A179B"/>
    <w:rPr>
      <w:rFonts w:cs="Times New Roman"/>
      <w:color w:val="0000FF"/>
      <w:u w:val="single"/>
    </w:rPr>
  </w:style>
  <w:style w:type="character" w:styleId="FollowedHyperlink">
    <w:name w:val="FollowedHyperlink"/>
    <w:rsid w:val="008A179B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8A179B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8A179B"/>
  </w:style>
  <w:style w:type="paragraph" w:styleId="BodyTextIndent">
    <w:name w:val="Body Text Indent"/>
    <w:basedOn w:val="Normal"/>
    <w:link w:val="BodyTextIndentChar"/>
    <w:rsid w:val="008A179B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A179B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A179B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A179B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8A179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A179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A179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A179B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8A17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8A17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8A179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8A179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8A179B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8A179B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8A179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8A179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8A179B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8A179B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8A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8A17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8A179B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8A179B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8A179B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8A17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8A179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8A179B"/>
  </w:style>
  <w:style w:type="character" w:customStyle="1" w:styleId="CharChar3">
    <w:name w:val="Char Char3"/>
    <w:rsid w:val="008A179B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8A17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8A179B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8A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8A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8A179B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8A17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A179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A1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179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A17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2024-03-01T08:05:00Z</dcterms:created>
  <dcterms:modified xsi:type="dcterms:W3CDTF">2024-03-01T08:05:00Z</dcterms:modified>
</cp:coreProperties>
</file>